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79" w:rsidRDefault="007A3136" w:rsidP="007A3136">
      <w:pPr>
        <w:jc w:val="right"/>
        <w:rPr>
          <w:b/>
        </w:rPr>
      </w:pPr>
      <w:r w:rsidRPr="007A3136">
        <w:rPr>
          <w:b/>
        </w:rPr>
        <w:t xml:space="preserve">Załącznik nr </w:t>
      </w:r>
      <w:r w:rsidR="00AB0019">
        <w:rPr>
          <w:b/>
        </w:rPr>
        <w:t>3</w:t>
      </w:r>
      <w:bookmarkStart w:id="0" w:name="_GoBack"/>
      <w:bookmarkEnd w:id="0"/>
      <w:r w:rsidRPr="007A3136">
        <w:rPr>
          <w:b/>
        </w:rPr>
        <w:t xml:space="preserve"> do umowy </w:t>
      </w:r>
      <w:r>
        <w:rPr>
          <w:b/>
        </w:rPr>
        <w:t>nr IZP.272. …. 2017 z dnia …..</w:t>
      </w:r>
    </w:p>
    <w:p w:rsidR="007A3136" w:rsidRDefault="007A3136" w:rsidP="007A3136">
      <w:pPr>
        <w:jc w:val="right"/>
        <w:rPr>
          <w:b/>
        </w:rPr>
      </w:pPr>
    </w:p>
    <w:p w:rsidR="007A3136" w:rsidRDefault="007A3136" w:rsidP="007A3136">
      <w:pPr>
        <w:jc w:val="right"/>
        <w:rPr>
          <w:b/>
        </w:rPr>
      </w:pPr>
    </w:p>
    <w:p w:rsidR="007A3136" w:rsidRDefault="007A3136" w:rsidP="007A3136">
      <w:pPr>
        <w:jc w:val="center"/>
        <w:rPr>
          <w:b/>
        </w:rPr>
      </w:pPr>
      <w:r>
        <w:rPr>
          <w:b/>
        </w:rPr>
        <w:t>TABELA WSPÓŁCZYNNIK KORYGUJĄCYCH CENY JEDNOSTKOWE</w:t>
      </w:r>
    </w:p>
    <w:p w:rsidR="007A3136" w:rsidRDefault="007A3136" w:rsidP="007A3136">
      <w:pPr>
        <w:jc w:val="center"/>
        <w:rPr>
          <w:b/>
        </w:rPr>
      </w:pPr>
    </w:p>
    <w:p w:rsidR="00AB0019" w:rsidRDefault="00AB0019" w:rsidP="00AB0019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Wykaz obsługiwanych nieruchomości:</w:t>
      </w:r>
    </w:p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 xml:space="preserve">Bujne 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Bartkowa Posadowa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Gródek nad Dunajcem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Jelna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Jelna-Działy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Lipie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 xml:space="preserve">Podole-Górowa 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Przydonica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Przydonica – Glinik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 xml:space="preserve">Rożnów 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wielorodzinne – zaopatrzone w kontenery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Roztoka-Brzeziny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Sienna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lastRenderedPageBreak/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>
        <w:t>Tropie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AB001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</w:pPr>
      <w:r w:rsidRPr="00224EFB">
        <w:t>Zbyszyce</w:t>
      </w:r>
    </w:p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Budynki mieszkalne jednorodzinne</w:t>
      </w:r>
    </w:p>
    <w:p w:rsidR="00AB0019" w:rsidRDefault="00AB0019" w:rsidP="00AB0019"/>
    <w:p w:rsidR="00AB001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</w:pPr>
      <w:r>
        <w:t>Nieruchomości niezamieszkane lub zamieszkane czasowo</w:t>
      </w:r>
    </w:p>
    <w:p w:rsidR="00AB0019" w:rsidRDefault="00AB0019" w:rsidP="00AB0019"/>
    <w:p w:rsidR="007A3136" w:rsidRPr="007A3136" w:rsidRDefault="007A3136" w:rsidP="007A3136">
      <w:pPr>
        <w:pStyle w:val="Akapitzlist"/>
        <w:rPr>
          <w:b/>
        </w:rPr>
      </w:pPr>
    </w:p>
    <w:sectPr w:rsidR="007A3136" w:rsidRPr="007A3136" w:rsidSect="006B0920">
      <w:headerReference w:type="default" r:id="rId8"/>
      <w:footerReference w:type="default" r:id="rId9"/>
      <w:pgSz w:w="11906" w:h="16838"/>
      <w:pgMar w:top="1276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168" w:rsidRDefault="00895168" w:rsidP="00D770B2">
      <w:r>
        <w:separator/>
      </w:r>
    </w:p>
  </w:endnote>
  <w:endnote w:type="continuationSeparator" w:id="0">
    <w:p w:rsidR="00895168" w:rsidRDefault="0089516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AB0019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168" w:rsidRDefault="00895168" w:rsidP="00D770B2">
      <w:r>
        <w:separator/>
      </w:r>
    </w:p>
  </w:footnote>
  <w:footnote w:type="continuationSeparator" w:id="0">
    <w:p w:rsidR="00895168" w:rsidRDefault="0089516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7A26A4" w:rsidRDefault="003726CD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F46A4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B0352-921F-4ED8-BC4F-7F6063BC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2017-12-02T18:00:00Z</dcterms:created>
  <dcterms:modified xsi:type="dcterms:W3CDTF">2017-12-02T18:00:00Z</dcterms:modified>
</cp:coreProperties>
</file>